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C7" w:rsidRDefault="000B06C7">
      <w:pPr>
        <w:pStyle w:val="af6"/>
        <w:jc w:val="center"/>
        <w:rPr>
          <w:i/>
          <w:sz w:val="16"/>
          <w:szCs w:val="16"/>
        </w:rPr>
      </w:pPr>
      <w:bookmarkStart w:id="0" w:name="_GoBack"/>
      <w:bookmarkEnd w:id="0"/>
    </w:p>
    <w:p w:rsidR="000B06C7" w:rsidRDefault="00002495">
      <w:pPr>
        <w:pStyle w:val="af6"/>
        <w:jc w:val="center"/>
        <w:rPr>
          <w:color w:val="800000"/>
          <w:sz w:val="26"/>
          <w:szCs w:val="26"/>
        </w:rPr>
      </w:pPr>
      <w:r>
        <w:rPr>
          <w:i/>
          <w:color w:val="800000"/>
          <w:sz w:val="26"/>
          <w:szCs w:val="26"/>
        </w:rPr>
        <w:t xml:space="preserve">Южно-Уральский Головной координационный центр НТТМ «Интеллектуалы </w:t>
      </w:r>
      <w:r>
        <w:rPr>
          <w:i/>
          <w:color w:val="800000"/>
          <w:sz w:val="26"/>
          <w:szCs w:val="26"/>
          <w:lang w:val="en-US"/>
        </w:rPr>
        <w:t>XXI</w:t>
      </w:r>
      <w:r>
        <w:rPr>
          <w:i/>
          <w:color w:val="800000"/>
          <w:sz w:val="26"/>
          <w:szCs w:val="26"/>
        </w:rPr>
        <w:t xml:space="preserve"> века»</w:t>
      </w:r>
      <w:r>
        <w:rPr>
          <w:color w:val="800000"/>
          <w:sz w:val="26"/>
          <w:szCs w:val="26"/>
        </w:rPr>
        <w:t xml:space="preserve"> </w:t>
      </w:r>
    </w:p>
    <w:p w:rsidR="000B06C7" w:rsidRDefault="00002495">
      <w:pPr>
        <w:pStyle w:val="af6"/>
        <w:jc w:val="center"/>
        <w:rPr>
          <w:rStyle w:val="header11"/>
          <w:rFonts w:ascii="Times New Roman" w:hAnsi="Times New Roman" w:cs="Times New Roman"/>
          <w:sz w:val="26"/>
          <w:szCs w:val="26"/>
        </w:rPr>
      </w:pPr>
      <w:r>
        <w:rPr>
          <w:rStyle w:val="header11"/>
          <w:rFonts w:ascii="Times New Roman" w:hAnsi="Times New Roman" w:cs="Times New Roman"/>
          <w:sz w:val="26"/>
          <w:szCs w:val="26"/>
        </w:rPr>
        <w:t>Российской научно-социальной программы для молодёжи и школьников          «Шаг в будущее»</w:t>
      </w:r>
    </w:p>
    <w:p w:rsidR="000B06C7" w:rsidRDefault="00002495">
      <w:pPr>
        <w:pStyle w:val="af6"/>
        <w:jc w:val="center"/>
        <w:rPr>
          <w:rStyle w:val="header11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>
        <w:rPr>
          <w:rStyle w:val="header11"/>
          <w:sz w:val="16"/>
          <w:szCs w:val="16"/>
        </w:rPr>
        <w:t>___________________________________________________</w:t>
      </w:r>
    </w:p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0B06C7">
        <w:trPr>
          <w:trHeight w:val="1817"/>
          <w:tblCellSpacing w:w="0" w:type="dxa"/>
        </w:trPr>
        <w:tc>
          <w:tcPr>
            <w:tcW w:w="98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jc w:val="center"/>
              <w:rPr>
                <w:rFonts w:ascii="Arial" w:hAnsi="Arial" w:cs="Arial"/>
                <w:b/>
                <w:bCs/>
                <w:color w:val="333300"/>
                <w:sz w:val="4"/>
                <w:szCs w:val="4"/>
              </w:rPr>
            </w:pPr>
          </w:p>
          <w:p w:rsidR="000B06C7" w:rsidRDefault="00002495"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  <w:lang w:val="en-US"/>
              </w:rPr>
              <w:t>XIX</w:t>
            </w:r>
            <w:r>
              <w:rPr>
                <w:b/>
                <w:color w:val="0033CC"/>
                <w:sz w:val="28"/>
                <w:szCs w:val="28"/>
              </w:rPr>
              <w:t xml:space="preserve"> Уральское соревнование </w:t>
            </w:r>
          </w:p>
          <w:p w:rsidR="000B06C7" w:rsidRDefault="00002495"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юных исследователей, конструкторов, рационализаторов</w:t>
            </w:r>
          </w:p>
          <w:p w:rsidR="000B06C7" w:rsidRDefault="00002495"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«Евразийские ворота России - Шаг в будущее, ЮНИОР»</w:t>
            </w:r>
          </w:p>
          <w:p w:rsidR="000B06C7" w:rsidRDefault="000B06C7">
            <w:pPr>
              <w:ind w:left="720"/>
              <w:jc w:val="center"/>
              <w:rPr>
                <w:rFonts w:ascii="Arial" w:hAnsi="Arial" w:cs="Arial"/>
                <w:color w:val="333300"/>
                <w:sz w:val="18"/>
                <w:szCs w:val="22"/>
              </w:rPr>
            </w:pPr>
          </w:p>
          <w:p w:rsidR="000B06C7" w:rsidRDefault="00002495">
            <w:pPr>
              <w:ind w:left="720"/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t xml:space="preserve">Россия, г. Челябинск, </w:t>
            </w:r>
            <w:r>
              <w:rPr>
                <w:rFonts w:ascii="Arial" w:hAnsi="Arial" w:cs="Arial"/>
                <w:b/>
                <w:bCs/>
                <w:i/>
                <w:iCs/>
                <w:color w:val="333300"/>
                <w:sz w:val="20"/>
                <w:szCs w:val="20"/>
              </w:rPr>
              <w:t>12-</w:t>
            </w:r>
            <w:r>
              <w:rPr>
                <w:rFonts w:ascii="Arial" w:hAnsi="Arial" w:cs="Arial"/>
                <w:b/>
                <w:i/>
                <w:iCs/>
                <w:color w:val="333300"/>
                <w:sz w:val="20"/>
                <w:szCs w:val="20"/>
              </w:rPr>
              <w:t>19 апреля  2024 г.</w:t>
            </w: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br w:type="textWrapping" w:clear="all"/>
            </w: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t xml:space="preserve">Срок представления заявок </w:t>
            </w:r>
            <w:r>
              <w:rPr>
                <w:rFonts w:ascii="Arial" w:hAnsi="Arial" w:cs="Arial"/>
                <w:b/>
                <w:i/>
                <w:iCs/>
                <w:color w:val="333300"/>
                <w:sz w:val="20"/>
                <w:szCs w:val="20"/>
              </w:rPr>
              <w:t>06 - 18 марта  2024 г.</w:t>
            </w: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t xml:space="preserve">    </w:t>
            </w:r>
          </w:p>
          <w:p w:rsidR="000B06C7" w:rsidRDefault="00002495">
            <w:pPr>
              <w:ind w:left="720"/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t>Место проведения – Южно-Уральский государственный университет (НИУ)</w:t>
            </w:r>
          </w:p>
          <w:p w:rsidR="000B06C7" w:rsidRDefault="00002495">
            <w:pP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00"/>
                <w:sz w:val="20"/>
                <w:szCs w:val="20"/>
              </w:rPr>
              <w:t xml:space="preserve">             Форма проведения Соревнования – дистант-онлайн формат (на базе сайта университета) </w:t>
            </w:r>
          </w:p>
          <w:p w:rsidR="000B06C7" w:rsidRDefault="000B06C7">
            <w:pPr>
              <w:jc w:val="center"/>
              <w:rPr>
                <w:rFonts w:ascii="Arial" w:hAnsi="Arial" w:cs="Arial"/>
                <w:i/>
                <w:iCs/>
                <w:color w:val="333300"/>
                <w:sz w:val="16"/>
                <w:szCs w:val="16"/>
                <w:vertAlign w:val="subscript"/>
              </w:rPr>
            </w:pPr>
          </w:p>
        </w:tc>
      </w:tr>
      <w:tr w:rsidR="000B06C7">
        <w:trPr>
          <w:trHeight w:val="16"/>
          <w:tblCellSpacing w:w="0" w:type="dxa"/>
        </w:trPr>
        <w:tc>
          <w:tcPr>
            <w:tcW w:w="98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02495">
            <w:pPr>
              <w:pStyle w:val="a5"/>
              <w:jc w:val="left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</wp:posOffset>
                  </wp:positionV>
                  <wp:extent cx="6089650" cy="4565650"/>
                  <wp:effectExtent l="0" t="0" r="0" b="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6089650" cy="45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rou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06C7" w:rsidRDefault="00002495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Для участия в Соревновании приглашаются учащиеся 2-7 классов школ, гимназий лицеев и центров дополнительного образования.</w:t>
            </w:r>
          </w:p>
          <w:p w:rsidR="000B06C7" w:rsidRDefault="00002495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Южно-Уральский головной координационный центр программы «Шаг в будущее…» на базе Южно-Уральского государственного университета открыва</w:t>
            </w:r>
            <w:r>
              <w:rPr>
                <w:sz w:val="28"/>
                <w:szCs w:val="28"/>
                <w:lang w:val="ru-RU" w:eastAsia="ru-RU"/>
              </w:rPr>
              <w:t xml:space="preserve">ет Соревнование  для демонстрации лучших достижений юных талантов (исследователей, конструкторов, рационализаторов, интеллектуалов). </w:t>
            </w:r>
          </w:p>
          <w:p w:rsidR="000B06C7" w:rsidRDefault="000B06C7">
            <w:pPr>
              <w:pStyle w:val="af6"/>
              <w:jc w:val="both"/>
              <w:rPr>
                <w:sz w:val="28"/>
                <w:szCs w:val="28"/>
              </w:rPr>
            </w:pPr>
          </w:p>
          <w:p w:rsidR="000B06C7" w:rsidRDefault="00002495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проходит в рамках Южно-Уральской интеллектуально-социальной программы для молодежи и школьников «Шаг в будущ</w:t>
            </w:r>
            <w:r>
              <w:rPr>
                <w:sz w:val="28"/>
                <w:szCs w:val="28"/>
              </w:rPr>
              <w:t>ее…» - в 32                                                                                            -ю годовщину реализации программы «Шаг в будущее» в городе Челябинске и на Южном Урале.</w:t>
            </w:r>
          </w:p>
          <w:p w:rsidR="000B06C7" w:rsidRDefault="000B06C7">
            <w:pPr>
              <w:pStyle w:val="af6"/>
              <w:rPr>
                <w:b/>
                <w:bCs/>
                <w:sz w:val="16"/>
                <w:szCs w:val="16"/>
              </w:rPr>
            </w:pPr>
          </w:p>
          <w:p w:rsidR="000B06C7" w:rsidRDefault="00002495">
            <w:pPr>
              <w:pStyle w:val="af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НАУЧНЫЕ НАПРАВЛЕНИЯ СОРЕВНОВАНИЯ:</w:t>
            </w:r>
          </w:p>
          <w:p w:rsidR="000B06C7" w:rsidRDefault="00002495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ТЕХНИКА И ИНЖЕНЕРНОЕ ДЕЛО (</w:t>
            </w:r>
            <w:r>
              <w:rPr>
                <w:i/>
                <w:iCs/>
                <w:sz w:val="28"/>
                <w:szCs w:val="28"/>
              </w:rPr>
              <w:t xml:space="preserve">индекс направления </w:t>
            </w:r>
            <w:r>
              <w:rPr>
                <w:b/>
                <w:i/>
                <w:iCs/>
                <w:sz w:val="28"/>
                <w:szCs w:val="28"/>
              </w:rPr>
              <w:t>Ит</w:t>
            </w:r>
            <w:r>
              <w:rPr>
                <w:sz w:val="28"/>
                <w:szCs w:val="28"/>
              </w:rPr>
              <w:t>): технические устройства и технологии, проектирование и конструирование, машиностроение, электроника, энергетика, электротехника, оптика,  биомедицинская техника, робототехника, морская техника, проекты, предполагающие непосредственно</w:t>
            </w:r>
            <w:r>
              <w:rPr>
                <w:sz w:val="28"/>
                <w:szCs w:val="28"/>
              </w:rPr>
              <w:t>е применение научных принципов в производственных процессах и на практике, другие направления техники и инженерного дела.</w:t>
            </w:r>
          </w:p>
          <w:p w:rsidR="000B06C7" w:rsidRDefault="000B06C7">
            <w:pPr>
              <w:pStyle w:val="af6"/>
              <w:jc w:val="both"/>
              <w:rPr>
                <w:sz w:val="16"/>
                <w:szCs w:val="16"/>
              </w:rPr>
            </w:pPr>
          </w:p>
          <w:p w:rsidR="000B06C7" w:rsidRDefault="00002495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ВЫЧИСЛИТЕЛЬНАЯ ТЕХНИКА И ПРОГРАММНОЕ ОБЕСПЕЧЕНИЕ (</w:t>
            </w:r>
            <w:r>
              <w:rPr>
                <w:i/>
                <w:iCs/>
                <w:sz w:val="28"/>
                <w:szCs w:val="28"/>
              </w:rPr>
              <w:t xml:space="preserve">индекс направления </w:t>
            </w:r>
            <w:r>
              <w:rPr>
                <w:b/>
                <w:i/>
                <w:iCs/>
                <w:sz w:val="28"/>
                <w:szCs w:val="28"/>
              </w:rPr>
              <w:t>Ив</w:t>
            </w:r>
            <w:r>
              <w:rPr>
                <w:sz w:val="28"/>
                <w:szCs w:val="28"/>
              </w:rPr>
              <w:t>): разработка программного обеспечения и аппаратного оборуд</w:t>
            </w:r>
            <w:r>
              <w:rPr>
                <w:sz w:val="28"/>
                <w:szCs w:val="28"/>
              </w:rPr>
              <w:t>ования, Интернет, компьютерные сети и коммуникации, графика, человеко-машинные системы, виртуальная реальность, структуры данных, кодирование и теория информации и т.д.</w:t>
            </w:r>
          </w:p>
          <w:p w:rsidR="000B06C7" w:rsidRDefault="000B06C7">
            <w:pPr>
              <w:pStyle w:val="af6"/>
              <w:jc w:val="both"/>
              <w:rPr>
                <w:b/>
                <w:sz w:val="16"/>
                <w:szCs w:val="16"/>
              </w:rPr>
            </w:pPr>
          </w:p>
          <w:p w:rsidR="000B06C7" w:rsidRDefault="00002495">
            <w:pPr>
              <w:pStyle w:val="af6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3.  ФИЗИКА  И ПОЗНАНИЕ МИРА (</w:t>
            </w:r>
            <w:r>
              <w:rPr>
                <w:i/>
                <w:sz w:val="28"/>
                <w:szCs w:val="28"/>
              </w:rPr>
              <w:t xml:space="preserve">индекс направления </w:t>
            </w:r>
            <w:r>
              <w:rPr>
                <w:b/>
                <w:bCs/>
                <w:i/>
                <w:sz w:val="28"/>
                <w:szCs w:val="28"/>
              </w:rPr>
              <w:t>Фп</w:t>
            </w:r>
            <w:r>
              <w:rPr>
                <w:i/>
                <w:sz w:val="28"/>
                <w:szCs w:val="28"/>
              </w:rPr>
              <w:t xml:space="preserve">): </w:t>
            </w:r>
          </w:p>
          <w:p w:rsidR="000B06C7" w:rsidRDefault="00002495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Теории, принципы и законы, управ</w:t>
            </w:r>
            <w:r>
              <w:rPr>
                <w:sz w:val="28"/>
                <w:szCs w:val="28"/>
              </w:rPr>
              <w:t>ляющие энергией и влияние энергии на материю: физика твердого тела, оптика, акустика, ядерная физика, физика атома, плазма, сверхпроводимость, динамика жидкости  и газа, полупроводники, магнетизм, квантовая  механика, биофизика и т.д.</w:t>
            </w:r>
          </w:p>
          <w:p w:rsidR="000B06C7" w:rsidRDefault="000B06C7">
            <w:pPr>
              <w:pStyle w:val="af6"/>
              <w:jc w:val="both"/>
              <w:rPr>
                <w:sz w:val="16"/>
                <w:szCs w:val="16"/>
              </w:rPr>
            </w:pPr>
          </w:p>
          <w:p w:rsidR="000B06C7" w:rsidRDefault="00002495">
            <w:pPr>
              <w:pStyle w:val="af6"/>
              <w:tabs>
                <w:tab w:val="num" w:pos="4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4.  ХИМИЯ  И  ХИМИЧЕ</w:t>
            </w:r>
            <w:r>
              <w:rPr>
                <w:sz w:val="28"/>
                <w:szCs w:val="28"/>
              </w:rPr>
              <w:t xml:space="preserve">СКИЕ ТЕХНОЛОГИИ </w:t>
            </w:r>
            <w:r>
              <w:rPr>
                <w:i/>
                <w:sz w:val="28"/>
                <w:szCs w:val="28"/>
              </w:rPr>
              <w:t xml:space="preserve">(индекс направления </w:t>
            </w:r>
            <w:r>
              <w:rPr>
                <w:b/>
                <w:bCs/>
                <w:i/>
                <w:sz w:val="28"/>
                <w:szCs w:val="28"/>
              </w:rPr>
              <w:t>Хт</w:t>
            </w:r>
            <w:r>
              <w:rPr>
                <w:i/>
                <w:sz w:val="28"/>
                <w:szCs w:val="28"/>
              </w:rPr>
              <w:t>)</w:t>
            </w:r>
          </w:p>
          <w:p w:rsidR="000B06C7" w:rsidRDefault="00002495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 природы и  состава материи  и законов  развития: физическая  химия, органическая химия (кроме биохимии), неорганическая химия, материалы, пластмассы, пестициды, металлургия, топливо, химия  почвы и т.д.</w:t>
            </w:r>
          </w:p>
          <w:p w:rsidR="000B06C7" w:rsidRDefault="000B06C7">
            <w:pPr>
              <w:pStyle w:val="af6"/>
              <w:jc w:val="both"/>
              <w:rPr>
                <w:sz w:val="16"/>
                <w:szCs w:val="16"/>
              </w:rPr>
            </w:pPr>
          </w:p>
          <w:p w:rsidR="000B06C7" w:rsidRDefault="00002495">
            <w:pPr>
              <w:pStyle w:val="HTML"/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28"/>
                <w:szCs w:val="28"/>
                <w:lang w:val="ru-RU" w:eastAsia="ru-RU"/>
              </w:rPr>
              <w:t>5.</w:t>
            </w:r>
            <w:r>
              <w:rPr>
                <w:rFonts w:ascii="Times New Roman" w:eastAsia="Times New Roman" w:hAnsi="Times New Roman"/>
                <w:color w:val="333300"/>
                <w:sz w:val="28"/>
                <w:szCs w:val="28"/>
                <w:lang w:val="ru-RU" w:eastAsia="ru-RU"/>
              </w:rPr>
              <w:t xml:space="preserve"> ПРИКЛАДНАЯ МАТЕМАТИКА  </w:t>
            </w:r>
            <w:r>
              <w:rPr>
                <w:rFonts w:ascii="Times New Roman" w:eastAsia="Times New Roman" w:hAnsi="Times New Roman"/>
                <w:i/>
                <w:color w:val="333300"/>
                <w:sz w:val="28"/>
                <w:szCs w:val="28"/>
                <w:lang w:val="ru-RU" w:eastAsia="ru-RU"/>
              </w:rPr>
              <w:t xml:space="preserve">(индекс направления 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00"/>
                <w:sz w:val="28"/>
                <w:szCs w:val="28"/>
                <w:lang w:val="ru-RU" w:eastAsia="ru-RU"/>
              </w:rPr>
              <w:t>Мп</w:t>
            </w:r>
            <w:r>
              <w:rPr>
                <w:rFonts w:ascii="Times New Roman" w:eastAsia="Times New Roman" w:hAnsi="Times New Roman"/>
                <w:i/>
                <w:color w:val="333300"/>
                <w:sz w:val="28"/>
                <w:szCs w:val="28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color w:val="333300"/>
                <w:sz w:val="28"/>
                <w:szCs w:val="28"/>
                <w:lang w:val="ru-RU"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color w:val="333300"/>
                <w:sz w:val="28"/>
                <w:szCs w:val="28"/>
                <w:lang w:val="ru-RU" w:eastAsia="ru-RU"/>
              </w:rPr>
              <w:t>Геометрия, алгебра, теория чисел, статистика, комплексный анализ, теория вероятностей, разработка формальных логических систем, численные и алгебраические вычисления, другие разделы математической науки.</w:t>
            </w:r>
            <w:r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  <w:lang w:val="ru-RU" w:eastAsia="ru-RU"/>
              </w:rPr>
              <w:t xml:space="preserve">   </w:t>
            </w:r>
          </w:p>
          <w:p w:rsidR="000B06C7" w:rsidRDefault="000B06C7">
            <w:pPr>
              <w:pStyle w:val="HTML"/>
              <w:rPr>
                <w:rFonts w:ascii="Times New Roman" w:hAnsi="Times New Roman"/>
                <w:b/>
                <w:bCs/>
                <w:color w:val="800000"/>
                <w:sz w:val="16"/>
                <w:szCs w:val="16"/>
                <w:lang w:val="ru-RU"/>
              </w:rPr>
            </w:pPr>
          </w:p>
          <w:p w:rsidR="000B06C7" w:rsidRDefault="00002495">
            <w:pPr>
              <w:pStyle w:val="a5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 xml:space="preserve">6.  БИОЛОГИЧЕСКИЕ НАУКИ  </w:t>
            </w:r>
            <w:r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  <w:t xml:space="preserve">(индекс направления  </w:t>
            </w:r>
            <w:r>
              <w:rPr>
                <w:i/>
                <w:color w:val="333300"/>
                <w:sz w:val="28"/>
                <w:szCs w:val="28"/>
                <w:lang w:val="ru-RU" w:eastAsia="ru-RU"/>
              </w:rPr>
              <w:t>Бн</w:t>
            </w:r>
            <w:r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  <w:t>)</w:t>
            </w:r>
          </w:p>
          <w:p w:rsidR="000B06C7" w:rsidRDefault="00002495">
            <w:pPr>
              <w:pStyle w:val="a5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 xml:space="preserve">Наземные и водные экосистемы, охраны окружающей среды, экология редких видов растений и животных. Экспериментальные исследования в природе и лабораториях. Наблюдения за домашними и дикими животными. Элементы ландшафтного дизайна. </w:t>
            </w:r>
          </w:p>
          <w:p w:rsidR="000B06C7" w:rsidRDefault="000B06C7">
            <w:pPr>
              <w:pStyle w:val="a5"/>
              <w:jc w:val="left"/>
              <w:rPr>
                <w:b w:val="0"/>
                <w:sz w:val="16"/>
                <w:szCs w:val="16"/>
                <w:lang w:val="ru-RU"/>
              </w:rPr>
            </w:pPr>
          </w:p>
          <w:p w:rsidR="000B06C7" w:rsidRDefault="00002495">
            <w:pPr>
              <w:pStyle w:val="a5"/>
              <w:jc w:val="left"/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 xml:space="preserve">7. ЯЗЫКОЗНАНИЕ «ВЕЛИКИЙ РУССКИЙ ЯЗЫК»  </w:t>
            </w:r>
            <w:r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  <w:t xml:space="preserve">(индекс направления  </w:t>
            </w:r>
            <w:r>
              <w:rPr>
                <w:i/>
                <w:color w:val="333300"/>
                <w:sz w:val="28"/>
                <w:szCs w:val="28"/>
                <w:lang w:val="ru-RU" w:eastAsia="ru-RU"/>
              </w:rPr>
              <w:t>Рв</w:t>
            </w:r>
            <w:r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  <w:t>)</w:t>
            </w:r>
          </w:p>
          <w:p w:rsidR="000B06C7" w:rsidRDefault="00002495">
            <w:pPr>
              <w:pStyle w:val="a5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Общие понятия. Происхождение языка. История русского языка. Диалектология русского языка. Языковая система и языковая норма. Фонетика. Лексикология. Лексикография. Морфемика и словообразование</w:t>
            </w:r>
            <w:r>
              <w:rPr>
                <w:b w:val="0"/>
                <w:sz w:val="28"/>
                <w:szCs w:val="28"/>
                <w:lang w:val="ru-RU" w:eastAsia="ru-RU"/>
              </w:rPr>
              <w:t>. Морфология. Синтаксис. Графика. Орфография. Стилистика.</w:t>
            </w:r>
          </w:p>
          <w:p w:rsidR="000B06C7" w:rsidRDefault="000B06C7">
            <w:pPr>
              <w:pStyle w:val="a5"/>
              <w:jc w:val="both"/>
              <w:rPr>
                <w:b w:val="0"/>
                <w:bCs w:val="0"/>
                <w:sz w:val="16"/>
                <w:szCs w:val="16"/>
                <w:lang w:val="ru-RU"/>
              </w:rPr>
            </w:pPr>
          </w:p>
          <w:p w:rsidR="000B06C7" w:rsidRDefault="00002495">
            <w:pPr>
              <w:pStyle w:val="a5"/>
              <w:jc w:val="both"/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 xml:space="preserve">8. ИСТОРИЯ  РОССИИ  </w:t>
            </w:r>
            <w:r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  <w:t xml:space="preserve">(индекс направления  </w:t>
            </w:r>
            <w:r>
              <w:rPr>
                <w:i/>
                <w:color w:val="333300"/>
                <w:sz w:val="28"/>
                <w:szCs w:val="28"/>
                <w:lang w:val="ru-RU" w:eastAsia="ru-RU"/>
              </w:rPr>
              <w:t>Ин</w:t>
            </w:r>
            <w:r>
              <w:rPr>
                <w:b w:val="0"/>
                <w:i/>
                <w:color w:val="333300"/>
                <w:sz w:val="28"/>
                <w:szCs w:val="28"/>
                <w:lang w:val="ru-RU" w:eastAsia="ru-RU"/>
              </w:rPr>
              <w:t>)</w:t>
            </w:r>
          </w:p>
          <w:p w:rsidR="000B06C7" w:rsidRDefault="00002495">
            <w:pPr>
              <w:pStyle w:val="a5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color w:val="333300"/>
                <w:sz w:val="28"/>
                <w:szCs w:val="28"/>
                <w:lang w:val="ru-RU" w:eastAsia="ru-RU"/>
              </w:rPr>
              <w:t xml:space="preserve">История России с древнейших времён до конца </w:t>
            </w:r>
            <w:r>
              <w:rPr>
                <w:b w:val="0"/>
                <w:bCs w:val="0"/>
                <w:color w:val="333300"/>
                <w:sz w:val="28"/>
                <w:szCs w:val="28"/>
              </w:rPr>
              <w:t>XX</w:t>
            </w:r>
            <w:r>
              <w:rPr>
                <w:b w:val="0"/>
                <w:bCs w:val="0"/>
                <w:color w:val="333300"/>
                <w:sz w:val="28"/>
                <w:szCs w:val="28"/>
                <w:lang w:val="ru-RU"/>
              </w:rPr>
              <w:t xml:space="preserve"> века (в том числе Русь до принятия Христианства). История края (в целом или отдельные сюжеты). 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Реформы в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 xml:space="preserve"> России и реформаторы. История войн. Внешняя политика. </w:t>
            </w:r>
          </w:p>
          <w:p w:rsidR="000B06C7" w:rsidRDefault="000B06C7">
            <w:pPr>
              <w:pStyle w:val="a5"/>
              <w:jc w:val="both"/>
              <w:rPr>
                <w:b w:val="0"/>
                <w:sz w:val="16"/>
                <w:szCs w:val="16"/>
                <w:lang w:val="ru-RU" w:eastAsia="ru-RU"/>
              </w:rPr>
            </w:pPr>
          </w:p>
          <w:p w:rsidR="000B06C7" w:rsidRDefault="000B06C7">
            <w:pPr>
              <w:pStyle w:val="a5"/>
              <w:jc w:val="both"/>
              <w:rPr>
                <w:lang w:val="ru-RU" w:eastAsia="ru-RU"/>
              </w:rPr>
            </w:pPr>
          </w:p>
          <w:p w:rsidR="000B06C7" w:rsidRDefault="00002495">
            <w:pPr>
              <w:pStyle w:val="af7"/>
              <w:spacing w:line="360" w:lineRule="auto"/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 xml:space="preserve">Краткие аннотации представленных участниками на Соревнование </w:t>
            </w:r>
          </w:p>
          <w:p w:rsidR="000B06C7" w:rsidRDefault="00002495">
            <w:pPr>
              <w:pStyle w:val="af7"/>
              <w:spacing w:line="360" w:lineRule="auto"/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исследовательских работ будут опубликованы в каталоге.</w:t>
            </w:r>
          </w:p>
        </w:tc>
      </w:tr>
    </w:tbl>
    <w:p w:rsidR="000B06C7" w:rsidRDefault="00002495">
      <w:pPr>
        <w:pStyle w:val="af6"/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lastRenderedPageBreak/>
        <w:br w:type="page" w:clear="all"/>
      </w:r>
      <w:r>
        <w:rPr>
          <w:b/>
          <w:color w:val="C00000"/>
          <w:sz w:val="28"/>
          <w:szCs w:val="28"/>
        </w:rPr>
        <w:lastRenderedPageBreak/>
        <w:t>П Л А Н   М Е Р О П Р И Я Т И Й</w:t>
      </w:r>
    </w:p>
    <w:p w:rsidR="000B06C7" w:rsidRDefault="00002495">
      <w:pPr>
        <w:jc w:val="center"/>
        <w:rPr>
          <w:b/>
        </w:rPr>
      </w:pPr>
      <w:r>
        <w:rPr>
          <w:b/>
          <w:lang w:val="en-US"/>
        </w:rPr>
        <w:t>XIX</w:t>
      </w:r>
      <w:r>
        <w:rPr>
          <w:b/>
        </w:rPr>
        <w:t xml:space="preserve"> Уральского соревнования </w:t>
      </w:r>
    </w:p>
    <w:p w:rsidR="000B06C7" w:rsidRDefault="00002495">
      <w:pPr>
        <w:jc w:val="center"/>
        <w:rPr>
          <w:b/>
        </w:rPr>
      </w:pPr>
      <w:r>
        <w:rPr>
          <w:b/>
        </w:rPr>
        <w:t xml:space="preserve">юных исследователей, конструкторов, рационализаторов </w:t>
      </w:r>
    </w:p>
    <w:p w:rsidR="000B06C7" w:rsidRDefault="00002495">
      <w:pPr>
        <w:jc w:val="center"/>
        <w:rPr>
          <w:b/>
        </w:rPr>
      </w:pPr>
      <w:r>
        <w:rPr>
          <w:b/>
        </w:rPr>
        <w:t xml:space="preserve">«Евразийские ворота России - Шаг в будущее, ЮНИОР»  </w:t>
      </w:r>
    </w:p>
    <w:p w:rsidR="000B06C7" w:rsidRDefault="00002495">
      <w:pPr>
        <w:jc w:val="center"/>
        <w:rPr>
          <w:b/>
        </w:rPr>
      </w:pPr>
      <w:r>
        <w:rPr>
          <w:b/>
        </w:rPr>
        <w:t>(г. Челябинск, ЮУрГУ, дистант-онлайн формат)</w:t>
      </w:r>
    </w:p>
    <w:p w:rsidR="000B06C7" w:rsidRDefault="00002495">
      <w:pPr>
        <w:jc w:val="center"/>
        <w:rPr>
          <w:b/>
          <w:color w:val="800000"/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0B06C7">
        <w:tc>
          <w:tcPr>
            <w:tcW w:w="1020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0249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 – 18 марта 2024 г.</w:t>
            </w:r>
          </w:p>
        </w:tc>
      </w:tr>
      <w:tr w:rsidR="000B06C7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ind w:left="176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02495">
            <w:pPr>
              <w:spacing w:after="60"/>
              <w:rPr>
                <w:b/>
              </w:rPr>
            </w:pPr>
            <w:r>
              <w:rPr>
                <w:b/>
              </w:rPr>
              <w:t xml:space="preserve">Потенциальный конкурсант Соревнования или его организатор, научный руководитель творческой работы </w:t>
            </w:r>
            <w:r>
              <w:rPr>
                <w:b/>
                <w:u w:val="single"/>
              </w:rPr>
              <w:t>направляет</w:t>
            </w:r>
            <w:r>
              <w:rPr>
                <w:b/>
              </w:rPr>
              <w:t xml:space="preserve"> в Оргкомитет предварительную заявку (электронный адрес для переписки, контактный телефон, личный титульный файл конкурсанта).</w:t>
            </w:r>
          </w:p>
        </w:tc>
      </w:tr>
      <w:tr w:rsidR="000B06C7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ind w:left="176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rPr>
                <w:b/>
                <w:sz w:val="19"/>
                <w:szCs w:val="19"/>
              </w:rPr>
            </w:pPr>
          </w:p>
        </w:tc>
      </w:tr>
      <w:tr w:rsidR="000B06C7">
        <w:tc>
          <w:tcPr>
            <w:tcW w:w="1020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rPr>
                <w:b/>
                <w:sz w:val="8"/>
                <w:szCs w:val="8"/>
              </w:rPr>
            </w:pPr>
          </w:p>
          <w:p w:rsidR="000B06C7" w:rsidRDefault="0000249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 – 30 марта</w:t>
            </w:r>
          </w:p>
        </w:tc>
      </w:tr>
      <w:tr w:rsidR="000B06C7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ind w:left="176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02495">
            <w:pPr>
              <w:spacing w:after="60"/>
              <w:rPr>
                <w:b/>
                <w:sz w:val="19"/>
                <w:szCs w:val="19"/>
              </w:rPr>
            </w:pPr>
            <w:r>
              <w:rPr>
                <w:b/>
              </w:rPr>
              <w:t xml:space="preserve">Потенциальный конкурсант Соревнования или его организатор, научный руководитель творческой работы </w:t>
            </w:r>
            <w:r>
              <w:rPr>
                <w:b/>
                <w:u w:val="single"/>
              </w:rPr>
              <w:t>направляет</w:t>
            </w:r>
            <w:r>
              <w:rPr>
                <w:b/>
              </w:rPr>
              <w:t xml:space="preserve"> в Оргкомитет фото конкурсанта на светлом фоне (как на паспорт), фото конкурсанта и его научного руководителя или организатора на фоне научной работ</w:t>
            </w:r>
            <w:r>
              <w:rPr>
                <w:b/>
              </w:rPr>
              <w:t xml:space="preserve">ы при обсуждении, аннотацию работы и копии дипломов и грамот, как достижения за последние два года (если имеются). </w:t>
            </w:r>
          </w:p>
        </w:tc>
      </w:tr>
      <w:tr w:rsidR="000B06C7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ind w:left="176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rPr>
                <w:sz w:val="19"/>
                <w:szCs w:val="19"/>
              </w:rPr>
            </w:pPr>
          </w:p>
        </w:tc>
      </w:tr>
      <w:tr w:rsidR="000B06C7">
        <w:tc>
          <w:tcPr>
            <w:tcW w:w="1020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tabs>
                <w:tab w:val="left" w:pos="540"/>
              </w:tabs>
              <w:rPr>
                <w:b/>
                <w:sz w:val="8"/>
                <w:szCs w:val="8"/>
              </w:rPr>
            </w:pPr>
          </w:p>
          <w:p w:rsidR="000B06C7" w:rsidRDefault="00002495">
            <w:pPr>
              <w:tabs>
                <w:tab w:val="left" w:pos="54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02 – 09 апреля</w:t>
            </w:r>
          </w:p>
        </w:tc>
      </w:tr>
      <w:tr w:rsidR="000B06C7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ind w:left="176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02495">
            <w:pPr>
              <w:spacing w:after="60"/>
              <w:rPr>
                <w:sz w:val="19"/>
                <w:szCs w:val="19"/>
              </w:rPr>
            </w:pPr>
            <w:r>
              <w:rPr>
                <w:b/>
              </w:rPr>
              <w:t xml:space="preserve">Потенциальный конкурсант Соревнования или его организатор, научный руководитель творческой работы </w:t>
            </w:r>
            <w:r>
              <w:rPr>
                <w:b/>
                <w:u w:val="single"/>
              </w:rPr>
              <w:t>направляет</w:t>
            </w:r>
            <w:r>
              <w:rPr>
                <w:b/>
              </w:rPr>
              <w:t xml:space="preserve"> в Оргкомитет творческую работу, её презентацию, видео-фрагмент доклада конкурсанта на фоне презентации и заполненные формы, высланные ранее Оргкомитетом.</w:t>
            </w:r>
          </w:p>
        </w:tc>
      </w:tr>
      <w:tr w:rsidR="000B06C7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ind w:left="176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spacing w:after="60"/>
              <w:rPr>
                <w:sz w:val="20"/>
                <w:szCs w:val="20"/>
              </w:rPr>
            </w:pPr>
          </w:p>
        </w:tc>
      </w:tr>
      <w:tr w:rsidR="000B06C7">
        <w:trPr>
          <w:trHeight w:val="333"/>
        </w:trPr>
        <w:tc>
          <w:tcPr>
            <w:tcW w:w="10207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02495">
            <w:pPr>
              <w:tabs>
                <w:tab w:val="left" w:pos="0"/>
                <w:tab w:val="left" w:pos="360"/>
                <w:tab w:val="left" w:pos="540"/>
              </w:tabs>
              <w:rPr>
                <w:bCs/>
              </w:rPr>
            </w:pPr>
            <w:r>
              <w:rPr>
                <w:b/>
                <w:sz w:val="28"/>
                <w:szCs w:val="28"/>
                <w:u w:val="single"/>
              </w:rPr>
              <w:t>10 – 18 апреля</w:t>
            </w:r>
          </w:p>
        </w:tc>
      </w:tr>
      <w:tr w:rsidR="000B06C7">
        <w:trPr>
          <w:trHeight w:val="230"/>
        </w:trPr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ind w:left="176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02495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Размещение материалов соревнования на сайте Южно-Уральского государственного университета (НИУ)</w:t>
            </w:r>
          </w:p>
        </w:tc>
      </w:tr>
      <w:tr w:rsidR="000B06C7">
        <w:trPr>
          <w:trHeight w:val="230"/>
        </w:trPr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ind w:left="176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spacing w:after="60"/>
              <w:rPr>
                <w:sz w:val="19"/>
                <w:szCs w:val="19"/>
              </w:rPr>
            </w:pPr>
          </w:p>
        </w:tc>
      </w:tr>
      <w:tr w:rsidR="000B06C7">
        <w:tc>
          <w:tcPr>
            <w:tcW w:w="1020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02495">
            <w:pPr>
              <w:tabs>
                <w:tab w:val="left" w:pos="0"/>
                <w:tab w:val="left" w:pos="360"/>
                <w:tab w:val="left" w:pos="5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  <w:u w:val="single"/>
              </w:rPr>
              <w:t>19 – 27 апреля</w:t>
            </w:r>
          </w:p>
        </w:tc>
      </w:tr>
      <w:tr w:rsidR="000B06C7">
        <w:trPr>
          <w:trHeight w:val="1055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02495">
            <w:pPr>
              <w:spacing w:after="60"/>
              <w:rPr>
                <w:b/>
              </w:rPr>
            </w:pPr>
            <w:r>
              <w:rPr>
                <w:b/>
              </w:rPr>
              <w:t xml:space="preserve">Эксперты </w:t>
            </w:r>
            <w:r>
              <w:rPr>
                <w:b/>
              </w:rPr>
              <w:t>по секциям оценивают работы юных исследователей, размещенные на сайте Южно-Уральского государственного университета (Национального исследовательского университета) в дистант формате. Другие заинтересованные при голосовании лица могут ставить лайки.</w:t>
            </w:r>
          </w:p>
        </w:tc>
      </w:tr>
      <w:tr w:rsidR="000B06C7">
        <w:tc>
          <w:tcPr>
            <w:tcW w:w="1020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spacing w:after="60"/>
              <w:rPr>
                <w:b/>
                <w:sz w:val="20"/>
                <w:szCs w:val="20"/>
                <w:u w:val="single"/>
              </w:rPr>
            </w:pPr>
          </w:p>
        </w:tc>
      </w:tr>
      <w:tr w:rsidR="000B06C7">
        <w:tc>
          <w:tcPr>
            <w:tcW w:w="1020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02495">
            <w:pPr>
              <w:tabs>
                <w:tab w:val="left" w:pos="360"/>
                <w:tab w:val="left" w:pos="540"/>
                <w:tab w:val="left" w:pos="1620"/>
              </w:tabs>
              <w:spacing w:after="6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 а</w:t>
            </w:r>
            <w:r>
              <w:rPr>
                <w:b/>
                <w:sz w:val="28"/>
                <w:szCs w:val="28"/>
                <w:u w:val="single"/>
              </w:rPr>
              <w:t>преля - 8 мая</w:t>
            </w:r>
          </w:p>
        </w:tc>
      </w:tr>
      <w:tr w:rsidR="000B06C7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02495">
            <w:pPr>
              <w:spacing w:after="60"/>
              <w:rPr>
                <w:b/>
              </w:rPr>
            </w:pPr>
            <w:r>
              <w:rPr>
                <w:b/>
              </w:rPr>
              <w:t>Подведение итогов работы экспертов ….</w:t>
            </w:r>
          </w:p>
          <w:p w:rsidR="000B06C7" w:rsidRDefault="00002495">
            <w:pPr>
              <w:spacing w:after="60"/>
              <w:rPr>
                <w:b/>
              </w:rPr>
            </w:pPr>
            <w:r>
              <w:rPr>
                <w:b/>
              </w:rPr>
              <w:t>Подготовка Оргкомитетом дипломов, грамот и почётных медалей Соревнования.</w:t>
            </w:r>
          </w:p>
          <w:p w:rsidR="000B06C7" w:rsidRDefault="000B06C7">
            <w:pPr>
              <w:spacing w:after="60"/>
              <w:rPr>
                <w:b/>
              </w:rPr>
            </w:pPr>
          </w:p>
        </w:tc>
      </w:tr>
      <w:tr w:rsidR="000B06C7">
        <w:tc>
          <w:tcPr>
            <w:tcW w:w="1020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02495">
            <w:pPr>
              <w:tabs>
                <w:tab w:val="left" w:pos="360"/>
                <w:tab w:val="left" w:pos="540"/>
                <w:tab w:val="left" w:pos="1620"/>
              </w:tabs>
              <w:spacing w:after="6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 – 16 мая</w:t>
            </w:r>
          </w:p>
        </w:tc>
      </w:tr>
      <w:tr w:rsidR="000B06C7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02495">
            <w:pPr>
              <w:spacing w:after="60"/>
              <w:rPr>
                <w:b/>
              </w:rPr>
            </w:pPr>
            <w:r>
              <w:rPr>
                <w:b/>
              </w:rPr>
              <w:t xml:space="preserve">Награждение </w:t>
            </w:r>
            <w:r>
              <w:rPr>
                <w:b/>
              </w:rPr>
              <w:t>конкурсантов – вручение дипломов, грамот, свидетельств, почётных медалей Соревнования (участникам от города Челябинска и Челябинской области в Южно-Уральском головном координационном центре НТТМ программы "Шаг в будущее.." при ЮУрГУ).</w:t>
            </w:r>
          </w:p>
        </w:tc>
      </w:tr>
      <w:tr w:rsidR="000B06C7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ind w:left="176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spacing w:after="60"/>
              <w:rPr>
                <w:sz w:val="19"/>
                <w:szCs w:val="19"/>
              </w:rPr>
            </w:pPr>
          </w:p>
        </w:tc>
      </w:tr>
      <w:tr w:rsidR="000B06C7">
        <w:tc>
          <w:tcPr>
            <w:tcW w:w="1020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rPr>
                <w:b/>
                <w:sz w:val="8"/>
                <w:szCs w:val="8"/>
              </w:rPr>
            </w:pPr>
          </w:p>
          <w:p w:rsidR="000B06C7" w:rsidRDefault="0000249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до 28 мая</w:t>
            </w:r>
          </w:p>
        </w:tc>
      </w:tr>
      <w:tr w:rsidR="000B06C7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B06C7">
            <w:pPr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06C7" w:rsidRDefault="00002495">
            <w:pPr>
              <w:rPr>
                <w:b/>
              </w:rPr>
            </w:pPr>
            <w:r>
              <w:rPr>
                <w:b/>
              </w:rPr>
              <w:t>Награждение конкурсантов Уральского региона (через почту).</w:t>
            </w:r>
          </w:p>
        </w:tc>
      </w:tr>
    </w:tbl>
    <w:p w:rsidR="000B06C7" w:rsidRDefault="000B06C7">
      <w:pPr>
        <w:pStyle w:val="af6"/>
        <w:jc w:val="center"/>
        <w:rPr>
          <w:b/>
          <w:sz w:val="28"/>
          <w:szCs w:val="28"/>
        </w:rPr>
      </w:pPr>
    </w:p>
    <w:p w:rsidR="000B06C7" w:rsidRDefault="00002495">
      <w:pPr>
        <w:spacing w:after="120"/>
        <w:ind w:left="1800" w:hanging="1800"/>
        <w:jc w:val="both"/>
        <w:rPr>
          <w:rStyle w:val="afb"/>
          <w:sz w:val="28"/>
          <w:szCs w:val="28"/>
        </w:rPr>
      </w:pPr>
      <w:r>
        <w:rPr>
          <w:rStyle w:val="afb"/>
          <w:sz w:val="28"/>
          <w:szCs w:val="28"/>
          <w:u w:val="single"/>
        </w:rPr>
        <w:lastRenderedPageBreak/>
        <w:t>ПРИМЕЧАНИЕ:</w:t>
      </w:r>
      <w:r>
        <w:rPr>
          <w:rStyle w:val="afb"/>
          <w:sz w:val="28"/>
          <w:szCs w:val="28"/>
        </w:rPr>
        <w:t xml:space="preserve">  по каждому из пунктов плана Соревнования Оргкомитет       будет доводить информацию до конкурсантов; в том числе при отдельных изменениях плана проведения Соревнования.</w:t>
      </w:r>
    </w:p>
    <w:p w:rsidR="000B06C7" w:rsidRDefault="000B06C7">
      <w:pPr>
        <w:spacing w:after="120"/>
        <w:ind w:left="1800" w:hanging="1800"/>
        <w:rPr>
          <w:rStyle w:val="afb"/>
          <w:sz w:val="28"/>
          <w:szCs w:val="28"/>
        </w:rPr>
      </w:pPr>
    </w:p>
    <w:p w:rsidR="000B06C7" w:rsidRDefault="000B06C7">
      <w:pPr>
        <w:spacing w:after="120"/>
        <w:ind w:left="1800" w:hanging="1800"/>
        <w:rPr>
          <w:rStyle w:val="afb"/>
          <w:sz w:val="28"/>
          <w:szCs w:val="28"/>
        </w:rPr>
      </w:pPr>
    </w:p>
    <w:p w:rsidR="000B06C7" w:rsidRDefault="00002495">
      <w:pPr>
        <w:spacing w:after="120"/>
        <w:ind w:left="1800" w:hanging="1800"/>
        <w:rPr>
          <w:b/>
          <w:sz w:val="28"/>
          <w:szCs w:val="28"/>
          <w:u w:val="single"/>
        </w:rPr>
      </w:pPr>
      <w:r>
        <w:rPr>
          <w:rStyle w:val="afb"/>
          <w:sz w:val="28"/>
          <w:szCs w:val="28"/>
          <w:u w:val="single"/>
        </w:rPr>
        <w:t>П</w:t>
      </w:r>
      <w:r>
        <w:rPr>
          <w:rStyle w:val="afb"/>
          <w:sz w:val="28"/>
          <w:szCs w:val="28"/>
          <w:u w:val="single"/>
        </w:rPr>
        <w:t xml:space="preserve">РЕДСТАВЛЕНИЯ  В  ОРГКОМИТЕТ  ЗАЯВОК: </w:t>
      </w:r>
    </w:p>
    <w:p w:rsidR="000B06C7" w:rsidRDefault="00002495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по квоте принимаются заявки для участия конкурсантов в Соревновании  от организаций - официальных участников программы «Шаг в будущее» Южно-Уральского головного КЦ при ЮУрГУ: КЦ №1 в городе Челябинске,</w:t>
      </w:r>
      <w:r>
        <w:rPr>
          <w:sz w:val="28"/>
          <w:szCs w:val="28"/>
        </w:rPr>
        <w:t xml:space="preserve"> КЦ №2 в городе Златоусте, КЦ №3 в городе Копейске, КЦ №4 в городе Кыштыме, КЦ №5 в городе Трехгорном, КЦ №7 в Красноармейском районе, КЦ №8 в городе Сатке, КЦ №9 в городе Южноуральске, КЦ №10 в Карталинском районе, КЦ №11 в Сосновском районе Челябинской о</w:t>
      </w:r>
      <w:r>
        <w:rPr>
          <w:sz w:val="28"/>
          <w:szCs w:val="28"/>
        </w:rPr>
        <w:t>бласти. Остальные  потенциальные конкурсанты от городов и населенных пунктов Уральского региона могут принимать участие только в исключительном случае по согласованию с Оргкомитетом, организующим данное Соревнование или по официальному приглашению Оргкомит</w:t>
      </w:r>
      <w:r>
        <w:rPr>
          <w:sz w:val="28"/>
          <w:szCs w:val="28"/>
        </w:rPr>
        <w:t xml:space="preserve">ета Соревнования. </w:t>
      </w:r>
    </w:p>
    <w:p w:rsidR="000B06C7" w:rsidRDefault="00002495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Оргкомитета: </w:t>
      </w:r>
      <w:hyperlink r:id="rId8" w:tooltip="mailto:ural-chel-ken@mail.ru" w:history="1">
        <w:r>
          <w:rPr>
            <w:color w:val="0000FF"/>
            <w:sz w:val="28"/>
            <w:szCs w:val="28"/>
          </w:rPr>
          <w:t>ural-chel-ken@mail.ru</w:t>
        </w:r>
      </w:hyperlink>
      <w:r>
        <w:rPr>
          <w:sz w:val="28"/>
          <w:szCs w:val="28"/>
        </w:rPr>
        <w:t xml:space="preserve"> </w:t>
      </w:r>
    </w:p>
    <w:p w:rsidR="000B06C7" w:rsidRDefault="00002495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В предварительной заявке личные титульные файлы (ЛТФ) конкурсантов должны быть оформлены строго по следу</w:t>
      </w:r>
      <w:r>
        <w:rPr>
          <w:sz w:val="28"/>
          <w:szCs w:val="28"/>
        </w:rPr>
        <w:t>ющему образцу:</w:t>
      </w:r>
    </w:p>
    <w:p w:rsidR="000B06C7" w:rsidRDefault="00002495">
      <w:pPr>
        <w:ind w:left="567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(Мп- )</w:t>
      </w:r>
      <w:r>
        <w:rPr>
          <w:rFonts w:eastAsia="Calibri"/>
          <w:b/>
          <w:sz w:val="28"/>
          <w:szCs w:val="28"/>
        </w:rPr>
        <w:t xml:space="preserve"> ИВАНОВ Петр Васильевич</w:t>
      </w:r>
    </w:p>
    <w:p w:rsidR="000B06C7" w:rsidRDefault="00002495">
      <w:pPr>
        <w:ind w:left="567"/>
        <w:rPr>
          <w:rFonts w:eastAsia="Calibri"/>
        </w:rPr>
      </w:pPr>
      <w:r>
        <w:rPr>
          <w:rFonts w:eastAsia="Calibri"/>
        </w:rPr>
        <w:t>Свердловская область, г. Полевской</w:t>
      </w:r>
    </w:p>
    <w:p w:rsidR="000B06C7" w:rsidRDefault="00002495">
      <w:pPr>
        <w:ind w:left="567"/>
        <w:rPr>
          <w:rFonts w:eastAsia="Calibri"/>
        </w:rPr>
      </w:pPr>
      <w:r>
        <w:rPr>
          <w:rFonts w:eastAsia="Calibri"/>
        </w:rPr>
        <w:t>МБОУ СОШ с углублённым изучением отдельных предметов №14, 7 класс</w:t>
      </w:r>
    </w:p>
    <w:p w:rsidR="000B06C7" w:rsidRDefault="00002495">
      <w:pPr>
        <w:ind w:left="567"/>
        <w:rPr>
          <w:rFonts w:eastAsia="Calibri"/>
        </w:rPr>
      </w:pPr>
      <w:r>
        <w:rPr>
          <w:rFonts w:eastAsia="Calibri"/>
        </w:rPr>
        <w:t>ПРИЗНАКИ ДЕЛИМОСТИ В НЕДЕСЯТИЧНЫХ ПОЗИЦИОННЫХ СИСТЕМАХ СЧИСЛЕНИЯ</w:t>
      </w:r>
    </w:p>
    <w:p w:rsidR="000B06C7" w:rsidRDefault="00002495">
      <w:pPr>
        <w:ind w:left="567"/>
        <w:rPr>
          <w:rFonts w:eastAsia="Calibri"/>
          <w:i/>
        </w:rPr>
      </w:pPr>
      <w:r>
        <w:rPr>
          <w:rFonts w:eastAsia="Calibri"/>
          <w:i/>
        </w:rPr>
        <w:t>Научный руководитель: Петрова Наталья Ивановн</w:t>
      </w:r>
      <w:r>
        <w:rPr>
          <w:rFonts w:eastAsia="Calibri"/>
          <w:i/>
        </w:rPr>
        <w:t xml:space="preserve">а, учитель математики, МБОУ СОШ с углублённым изучением отдельных предметов №14 </w:t>
      </w:r>
    </w:p>
    <w:p w:rsidR="000B06C7" w:rsidRDefault="000B06C7">
      <w:pPr>
        <w:pStyle w:val="ArialNarrow12pt"/>
        <w:ind w:left="567"/>
        <w:rPr>
          <w:rFonts w:ascii="Times New Roman" w:hAnsi="Times New Roman"/>
        </w:rPr>
      </w:pPr>
    </w:p>
    <w:p w:rsidR="000B06C7" w:rsidRDefault="00002495">
      <w:pPr>
        <w:pStyle w:val="a4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(Ит- ) </w:t>
      </w:r>
      <w:r>
        <w:rPr>
          <w:rFonts w:ascii="Times New Roman" w:hAnsi="Times New Roman"/>
          <w:b/>
          <w:sz w:val="28"/>
          <w:szCs w:val="28"/>
        </w:rPr>
        <w:t>ПЕТРОВ Николай Иванович</w:t>
      </w:r>
    </w:p>
    <w:p w:rsidR="000B06C7" w:rsidRDefault="00002495">
      <w:pPr>
        <w:pStyle w:val="a4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Челябинская область, г. Златоуст, МОУ СОШ №10,   5 класс</w:t>
      </w:r>
    </w:p>
    <w:p w:rsidR="000B06C7" w:rsidRDefault="00002495">
      <w:pPr>
        <w:pStyle w:val="a4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И ИСПОЛЬЗОВАНИЕ ВЕТРОГЕНЕРАТОРА В ДОМАШНИХ УСЛОВИЯХ</w:t>
      </w:r>
    </w:p>
    <w:p w:rsidR="000B06C7" w:rsidRDefault="00002495">
      <w:pPr>
        <w:pStyle w:val="a4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Научный руководитель:</w:t>
      </w:r>
      <w:r>
        <w:rPr>
          <w:rFonts w:ascii="Times New Roman" w:hAnsi="Times New Roman"/>
          <w:i/>
          <w:sz w:val="24"/>
          <w:szCs w:val="24"/>
        </w:rPr>
        <w:t xml:space="preserve"> Иванова Мария Васильевна, учитель физики МОУ СОШ №10,</w:t>
      </w:r>
    </w:p>
    <w:p w:rsidR="000B06C7" w:rsidRDefault="00002495">
      <w:pPr>
        <w:pStyle w:val="a4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г. Златоуст</w:t>
      </w:r>
    </w:p>
    <w:p w:rsidR="000B06C7" w:rsidRDefault="000B06C7">
      <w:pPr>
        <w:spacing w:after="120"/>
        <w:jc w:val="both"/>
        <w:rPr>
          <w:sz w:val="16"/>
          <w:szCs w:val="16"/>
        </w:rPr>
      </w:pPr>
    </w:p>
    <w:p w:rsidR="000B06C7" w:rsidRDefault="00002495">
      <w:pPr>
        <w:ind w:left="1800" w:hanging="1800"/>
        <w:rPr>
          <w:b/>
          <w:sz w:val="28"/>
          <w:szCs w:val="28"/>
        </w:rPr>
      </w:pPr>
      <w:r>
        <w:rPr>
          <w:b/>
          <w:sz w:val="28"/>
          <w:szCs w:val="28"/>
        </w:rPr>
        <w:t>РАБОТЫ</w:t>
      </w:r>
    </w:p>
    <w:p w:rsidR="000B06C7" w:rsidRDefault="000B06C7">
      <w:pPr>
        <w:pStyle w:val="a5"/>
        <w:jc w:val="both"/>
        <w:rPr>
          <w:b w:val="0"/>
          <w:sz w:val="16"/>
          <w:szCs w:val="16"/>
          <w:lang w:val="ru-RU"/>
        </w:rPr>
      </w:pPr>
    </w:p>
    <w:p w:rsidR="000B06C7" w:rsidRDefault="00002495">
      <w:pPr>
        <w:pStyle w:val="a5"/>
        <w:spacing w:after="12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Для участия в Соревновании Председателем экспертного совета ГКЦ и Оргкомитетом будут отобраны: по 20-25 творческих исследовательских работ по каждому научному направлению.</w:t>
      </w:r>
    </w:p>
    <w:p w:rsidR="000B06C7" w:rsidRDefault="00002495">
      <w:pPr>
        <w:pStyle w:val="af6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Аннотац</w:t>
      </w:r>
      <w:r>
        <w:rPr>
          <w:sz w:val="26"/>
          <w:szCs w:val="26"/>
        </w:rPr>
        <w:t>ии представленных на Соревнование работ участников будут опубликованы в каталоге Соревнования (образцы и требования к аннотации будут высланы дополнительно).</w:t>
      </w:r>
    </w:p>
    <w:p w:rsidR="000B06C7" w:rsidRDefault="00002495">
      <w:pPr>
        <w:pStyle w:val="af6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В исследовательских работах необходимо обозначить собственные результаты и достижения автора. Проб</w:t>
      </w:r>
      <w:r>
        <w:rPr>
          <w:sz w:val="26"/>
          <w:szCs w:val="26"/>
        </w:rPr>
        <w:t xml:space="preserve">лема, затронутая в работе, должна быть, как правило, </w:t>
      </w:r>
      <w:r>
        <w:rPr>
          <w:sz w:val="26"/>
          <w:szCs w:val="26"/>
        </w:rPr>
        <w:lastRenderedPageBreak/>
        <w:t>оригинальной. Если проблема не оригинальна, то должно быть оригинальным ее решение. Ценным является творчество, интеллектуальная продуктивность, генерация новых идей, может быть даже необычных, но обосно</w:t>
      </w:r>
      <w:r>
        <w:rPr>
          <w:sz w:val="26"/>
          <w:szCs w:val="26"/>
        </w:rPr>
        <w:t>ванных.</w:t>
      </w:r>
    </w:p>
    <w:p w:rsidR="000B06C7" w:rsidRDefault="00002495">
      <w:pPr>
        <w:pStyle w:val="af6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В описании работы должны быть четко разделены следующие части: постановка проблемы (задачи), методы ее решения, выводы. В работе должны быть освещены: актуальность решаемой проблемы, сравнение предлагаемых методов (эффективность, точность, простота</w:t>
      </w:r>
      <w:r>
        <w:rPr>
          <w:sz w:val="26"/>
          <w:szCs w:val="26"/>
        </w:rPr>
        <w:t xml:space="preserve"> и т.д.), предложения по практическому использованию результатов. </w:t>
      </w:r>
    </w:p>
    <w:p w:rsidR="000B06C7" w:rsidRDefault="00002495">
      <w:pPr>
        <w:pStyle w:val="af6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Творческая работа (статья) вместе с приложением не должна превышать 20 страниц (А4).</w:t>
      </w:r>
    </w:p>
    <w:p w:rsidR="000B06C7" w:rsidRDefault="00002495">
      <w:pPr>
        <w:pStyle w:val="a5"/>
        <w:spacing w:after="1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Рабочий язык Соревнования - русский.</w:t>
      </w:r>
    </w:p>
    <w:p w:rsidR="000B06C7" w:rsidRDefault="000B06C7">
      <w:pPr>
        <w:pStyle w:val="af6"/>
        <w:jc w:val="both"/>
        <w:rPr>
          <w:b/>
          <w:sz w:val="28"/>
          <w:szCs w:val="28"/>
        </w:rPr>
      </w:pPr>
    </w:p>
    <w:p w:rsidR="000B06C7" w:rsidRDefault="00002495">
      <w:pPr>
        <w:pStyle w:val="af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:rsidR="000B06C7" w:rsidRDefault="00002495">
      <w:pPr>
        <w:pStyle w:val="af6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Соревновании бесплатное.</w:t>
      </w:r>
    </w:p>
    <w:p w:rsidR="000B06C7" w:rsidRDefault="00002495">
      <w:pPr>
        <w:pStyle w:val="af6"/>
        <w:jc w:val="both"/>
        <w:rPr>
          <w:sz w:val="26"/>
          <w:szCs w:val="26"/>
        </w:rPr>
      </w:pPr>
      <w:r>
        <w:rPr>
          <w:sz w:val="26"/>
          <w:szCs w:val="26"/>
        </w:rPr>
        <w:t>Если какая-л</w:t>
      </w:r>
      <w:r>
        <w:rPr>
          <w:sz w:val="26"/>
          <w:szCs w:val="26"/>
        </w:rPr>
        <w:t xml:space="preserve">ибо организация, из приглашаемых Оргкомитетом, имеет возможность и желание выделить благотворительные средства на проведение в Челябинске 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Уральского соревнования юных исследователей, конструкторов, рационализаторов, интеллектуалов «Евразийские ворота Р</w:t>
      </w:r>
      <w:r>
        <w:rPr>
          <w:sz w:val="26"/>
          <w:szCs w:val="26"/>
        </w:rPr>
        <w:t>оссии - Шаг в будущее, ЮНИОР», то наш  целевой расчетный счет:</w:t>
      </w:r>
    </w:p>
    <w:p w:rsidR="000B06C7" w:rsidRDefault="00002495">
      <w:pPr>
        <w:shd w:val="clear" w:color="auto" w:fill="FFFFFF"/>
        <w:ind w:left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Челябинское областное отделение «Российский детский фонд» (ЧОО РДФ), </w:t>
      </w:r>
    </w:p>
    <w:p w:rsidR="000B06C7" w:rsidRDefault="00002495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454089, г. Челябинск, ул. Худякова, 20. </w:t>
      </w:r>
    </w:p>
    <w:p w:rsidR="000B06C7" w:rsidRDefault="00002495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7453068401, Расч. счет № 40703810400330000345 в ПАО «Челябивестбанк</w:t>
      </w:r>
      <w:r>
        <w:rPr>
          <w:color w:val="000000"/>
          <w:sz w:val="28"/>
          <w:szCs w:val="28"/>
        </w:rPr>
        <w:t xml:space="preserve">», Корр. счет № 30101810400000000779 в РКЦ г. Челябинска,  </w:t>
      </w:r>
    </w:p>
    <w:p w:rsidR="000B06C7" w:rsidRDefault="00002495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 047501779</w:t>
      </w:r>
    </w:p>
    <w:p w:rsidR="000B06C7" w:rsidRDefault="00002495">
      <w:pPr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Благотворительные средства на развитие программы НОУ «Шаг в будущее…»</w:t>
      </w:r>
    </w:p>
    <w:p w:rsidR="000B06C7" w:rsidRDefault="000B06C7">
      <w:pPr>
        <w:pStyle w:val="af6"/>
        <w:jc w:val="both"/>
        <w:rPr>
          <w:b/>
          <w:sz w:val="16"/>
          <w:szCs w:val="16"/>
        </w:rPr>
      </w:pPr>
    </w:p>
    <w:p w:rsidR="000B06C7" w:rsidRDefault="00002495">
      <w:pPr>
        <w:pStyle w:val="af6"/>
        <w:spacing w:after="12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Оргкомитет: моб. 8-908-08-160-65,  &lt;</w:t>
      </w:r>
      <w:r>
        <w:rPr>
          <w:b/>
          <w:bCs/>
          <w:color w:val="0000FF"/>
          <w:sz w:val="28"/>
          <w:szCs w:val="28"/>
          <w:lang w:val="en-US"/>
        </w:rPr>
        <w:t>ural</w:t>
      </w:r>
      <w:r>
        <w:rPr>
          <w:b/>
          <w:bCs/>
          <w:color w:val="0000FF"/>
          <w:sz w:val="28"/>
          <w:szCs w:val="28"/>
        </w:rPr>
        <w:t>-</w:t>
      </w:r>
      <w:r>
        <w:rPr>
          <w:b/>
          <w:bCs/>
          <w:color w:val="0000FF"/>
          <w:sz w:val="28"/>
          <w:szCs w:val="28"/>
          <w:lang w:val="en-US"/>
        </w:rPr>
        <w:t>chel</w:t>
      </w:r>
      <w:r>
        <w:rPr>
          <w:b/>
          <w:bCs/>
          <w:color w:val="0000FF"/>
          <w:sz w:val="28"/>
          <w:szCs w:val="28"/>
        </w:rPr>
        <w:t>-</w:t>
      </w:r>
      <w:r>
        <w:rPr>
          <w:b/>
          <w:bCs/>
          <w:color w:val="0000FF"/>
          <w:sz w:val="28"/>
          <w:szCs w:val="28"/>
          <w:lang w:val="en-US"/>
        </w:rPr>
        <w:t>ken</w:t>
      </w:r>
      <w:r>
        <w:rPr>
          <w:b/>
          <w:bCs/>
          <w:color w:val="0000FF"/>
          <w:sz w:val="28"/>
          <w:szCs w:val="28"/>
        </w:rPr>
        <w:t>@</w:t>
      </w:r>
      <w:r>
        <w:rPr>
          <w:b/>
          <w:bCs/>
          <w:color w:val="0000FF"/>
          <w:sz w:val="28"/>
          <w:szCs w:val="28"/>
          <w:lang w:val="en-US"/>
        </w:rPr>
        <w:t>mail</w:t>
      </w:r>
      <w:r>
        <w:rPr>
          <w:b/>
          <w:bCs/>
          <w:color w:val="0000FF"/>
          <w:sz w:val="28"/>
          <w:szCs w:val="28"/>
        </w:rPr>
        <w:t>.</w:t>
      </w:r>
      <w:r>
        <w:rPr>
          <w:b/>
          <w:bCs/>
          <w:color w:val="0000FF"/>
          <w:sz w:val="28"/>
          <w:szCs w:val="28"/>
          <w:lang w:val="en-US"/>
        </w:rPr>
        <w:t>ru</w:t>
      </w:r>
      <w:r>
        <w:rPr>
          <w:b/>
          <w:bCs/>
          <w:color w:val="0000FF"/>
          <w:sz w:val="28"/>
          <w:szCs w:val="28"/>
        </w:rPr>
        <w:t>&gt;</w:t>
      </w:r>
    </w:p>
    <w:p w:rsidR="000B06C7" w:rsidRDefault="000B06C7">
      <w:pPr>
        <w:rPr>
          <w:sz w:val="16"/>
          <w:szCs w:val="16"/>
        </w:rPr>
      </w:pPr>
    </w:p>
    <w:p w:rsidR="000B06C7" w:rsidRDefault="00002495">
      <w:pPr>
        <w:rPr>
          <w:b/>
        </w:rPr>
      </w:pPr>
      <w:r>
        <w:rPr>
          <w:b/>
        </w:rPr>
        <w:t>Руководитель  Южно-Уральского Головного координацио</w:t>
      </w:r>
      <w:r>
        <w:rPr>
          <w:b/>
        </w:rPr>
        <w:t xml:space="preserve">нного центра «Интеллектуалы </w:t>
      </w:r>
      <w:r>
        <w:rPr>
          <w:b/>
          <w:lang w:val="en-US"/>
        </w:rPr>
        <w:t>XXI</w:t>
      </w:r>
      <w:r>
        <w:rPr>
          <w:b/>
        </w:rPr>
        <w:t xml:space="preserve"> века» программы «Шаг в будущее…», председатель регионального отделения  «Российское молодежное политехническое общество», лауреат премии Президента РФ в области образования, директор Соревнования  </w:t>
      </w:r>
    </w:p>
    <w:p w:rsidR="000B06C7" w:rsidRDefault="000B06C7">
      <w:pPr>
        <w:rPr>
          <w:b/>
        </w:rPr>
      </w:pPr>
    </w:p>
    <w:p w:rsidR="000B06C7" w:rsidRDefault="00002495">
      <w:pPr>
        <w:rPr>
          <w:b/>
        </w:rPr>
      </w:pPr>
      <w:r>
        <w:rPr>
          <w:b/>
        </w:rPr>
        <w:t>Кузьмин Евгений Николаеви</w:t>
      </w:r>
      <w:r>
        <w:rPr>
          <w:b/>
        </w:rPr>
        <w:t xml:space="preserve">ч   </w:t>
      </w:r>
    </w:p>
    <w:sectPr w:rsidR="000B06C7"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95" w:rsidRDefault="00002495">
      <w:r>
        <w:separator/>
      </w:r>
    </w:p>
  </w:endnote>
  <w:endnote w:type="continuationSeparator" w:id="0">
    <w:p w:rsidR="00002495" w:rsidRDefault="0000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95" w:rsidRDefault="00002495">
      <w:r>
        <w:separator/>
      </w:r>
    </w:p>
  </w:footnote>
  <w:footnote w:type="continuationSeparator" w:id="0">
    <w:p w:rsidR="00002495" w:rsidRDefault="0000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E4097"/>
    <w:multiLevelType w:val="multilevel"/>
    <w:tmpl w:val="DF9E62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7"/>
    <w:rsid w:val="00002495"/>
    <w:rsid w:val="000B06C7"/>
    <w:rsid w:val="007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E7B93-2AA8-4377-BB7B-0D28A439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41">
    <w:name w:val="Заголовок 41"/>
    <w:basedOn w:val="a"/>
    <w:next w:val="a"/>
    <w:link w:val="4"/>
    <w:qFormat/>
    <w:pPr>
      <w:keepNext/>
      <w:ind w:left="720"/>
      <w:jc w:val="both"/>
      <w:outlineLvl w:val="3"/>
    </w:pPr>
    <w:rPr>
      <w:sz w:val="36"/>
      <w:lang w:val="en-US" w:eastAsia="en-US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2">
    <w:name w:val="Заголовок 42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2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link w:val="41"/>
    <w:rPr>
      <w:sz w:val="36"/>
      <w:szCs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Arial Unicode MS" w:eastAsia="Arial Unicode MS" w:hAnsi="Arial Unicode MS" w:cs="Arial Unicode MS"/>
    </w:rPr>
  </w:style>
  <w:style w:type="paragraph" w:styleId="af6">
    <w:name w:val="Normal (Web)"/>
    <w:basedOn w:val="a"/>
  </w:style>
  <w:style w:type="character" w:customStyle="1" w:styleId="header11">
    <w:name w:val="header11"/>
    <w:rPr>
      <w:rFonts w:ascii="Arial" w:hAnsi="Arial" w:cs="Arial"/>
      <w:b/>
      <w:bCs/>
      <w:color w:val="660000"/>
      <w:sz w:val="21"/>
      <w:szCs w:val="21"/>
      <w:u w:val="none"/>
    </w:rPr>
  </w:style>
  <w:style w:type="character" w:customStyle="1" w:styleId="a6">
    <w:name w:val="Название Знак"/>
    <w:link w:val="a5"/>
    <w:rPr>
      <w:b/>
      <w:bCs/>
      <w:sz w:val="24"/>
      <w:szCs w:val="24"/>
    </w:rPr>
  </w:style>
  <w:style w:type="paragraph" w:styleId="af7">
    <w:name w:val="Body Text Indent"/>
    <w:basedOn w:val="a"/>
    <w:link w:val="af8"/>
    <w:pPr>
      <w:ind w:firstLine="708"/>
      <w:jc w:val="both"/>
    </w:pPr>
    <w:rPr>
      <w:lang w:val="en-US" w:eastAsia="en-US"/>
    </w:rPr>
  </w:style>
  <w:style w:type="character" w:customStyle="1" w:styleId="af8">
    <w:name w:val="Основной текст с отступом Знак"/>
    <w:link w:val="af7"/>
    <w:rPr>
      <w:sz w:val="24"/>
      <w:szCs w:val="24"/>
    </w:rPr>
  </w:style>
  <w:style w:type="paragraph" w:customStyle="1" w:styleId="23">
    <w:name w:val="Верхний колонтитул2"/>
    <w:basedOn w:val="a"/>
    <w:link w:val="af9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9">
    <w:name w:val="Верхний колонтитул Знак"/>
    <w:link w:val="23"/>
    <w:uiPriority w:val="99"/>
    <w:rPr>
      <w:sz w:val="24"/>
      <w:szCs w:val="24"/>
    </w:rPr>
  </w:style>
  <w:style w:type="paragraph" w:customStyle="1" w:styleId="24">
    <w:name w:val="Нижний колонтитул2"/>
    <w:basedOn w:val="a"/>
    <w:link w:val="afa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a">
    <w:name w:val="Нижний колонтитул Знак"/>
    <w:link w:val="24"/>
    <w:uiPriority w:val="99"/>
    <w:rPr>
      <w:sz w:val="24"/>
      <w:szCs w:val="24"/>
    </w:rPr>
  </w:style>
  <w:style w:type="character" w:styleId="afb">
    <w:name w:val="Strong"/>
    <w:uiPriority w:val="22"/>
    <w:qFormat/>
    <w:rPr>
      <w:b/>
      <w:bCs/>
    </w:rPr>
  </w:style>
  <w:style w:type="paragraph" w:customStyle="1" w:styleId="ArialNarrow12pt">
    <w:name w:val="Обычный + Arial Narrow;12 pt"/>
    <w:basedOn w:val="a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l-chel-ke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УДМ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kazancevaia</cp:lastModifiedBy>
  <cp:revision>2</cp:revision>
  <dcterms:created xsi:type="dcterms:W3CDTF">2024-05-31T11:02:00Z</dcterms:created>
  <dcterms:modified xsi:type="dcterms:W3CDTF">2024-05-31T11:02:00Z</dcterms:modified>
  <cp:version>786432</cp:version>
</cp:coreProperties>
</file>